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2B4AC" w14:textId="13172ED4" w:rsidR="00D26D21" w:rsidRDefault="0026368C">
      <w:r>
        <w:rPr>
          <w:noProof/>
        </w:rPr>
        <w:drawing>
          <wp:inline distT="0" distB="0" distL="0" distR="0" wp14:anchorId="47906CB3" wp14:editId="1A6AED1D">
            <wp:extent cx="6120130" cy="927100"/>
            <wp:effectExtent l="0" t="0" r="0" b="635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2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A2030C" w14:textId="58073D71" w:rsidR="0095439F" w:rsidRDefault="0095439F" w:rsidP="0095439F">
      <w:pPr>
        <w:pStyle w:val="Titolo1"/>
        <w:rPr>
          <w:rFonts w:cstheme="majorHAnsi"/>
          <w:color w:val="auto"/>
          <w:sz w:val="32"/>
          <w:szCs w:val="32"/>
        </w:rPr>
      </w:pPr>
      <w:bookmarkStart w:id="0" w:name="_Toc115703481"/>
      <w:r w:rsidRPr="0095439F">
        <w:rPr>
          <w:rFonts w:cstheme="majorHAnsi"/>
          <w:color w:val="auto"/>
          <w:sz w:val="32"/>
          <w:szCs w:val="32"/>
        </w:rPr>
        <w:t>Guida rapida all’utilizzo del Doppio Book</w:t>
      </w:r>
      <w:bookmarkEnd w:id="0"/>
    </w:p>
    <w:p w14:paraId="28CCFE08" w14:textId="645ED5E6" w:rsidR="00C231B8" w:rsidRDefault="00C231B8" w:rsidP="00C231B8"/>
    <w:sdt>
      <w:sdtPr>
        <w:id w:val="1254937778"/>
        <w:docPartObj>
          <w:docPartGallery w:val="Table of Contents"/>
          <w:docPartUnique/>
        </w:docPartObj>
      </w:sdtPr>
      <w:sdtEndPr>
        <w:rPr>
          <w:rFonts w:asciiTheme="minorHAnsi" w:eastAsiaTheme="minorEastAsia" w:hAnsiTheme="minorHAnsi" w:cstheme="minorBidi"/>
          <w:b/>
          <w:bCs/>
          <w:color w:val="auto"/>
          <w:sz w:val="21"/>
          <w:szCs w:val="21"/>
        </w:rPr>
      </w:sdtEndPr>
      <w:sdtContent>
        <w:p w14:paraId="1A298223" w14:textId="3C97C4D2" w:rsidR="00CA2E53" w:rsidRDefault="00CA2E53">
          <w:pPr>
            <w:pStyle w:val="Titolosommario"/>
          </w:pPr>
          <w:r>
            <w:t>Sommario</w:t>
          </w:r>
        </w:p>
        <w:p w14:paraId="10AE0820" w14:textId="2E12F110" w:rsidR="00CA2E53" w:rsidRDefault="00CA2E53">
          <w:pPr>
            <w:pStyle w:val="Sommario1"/>
            <w:tabs>
              <w:tab w:val="right" w:leader="dot" w:pos="9628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15703481" w:history="1">
            <w:r w:rsidRPr="004D4F40">
              <w:rPr>
                <w:rStyle w:val="Collegamentoipertestuale"/>
                <w:rFonts w:cstheme="majorHAnsi"/>
                <w:noProof/>
              </w:rPr>
              <w:t>Guida rapida all’utilizzo del Doppio Book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_Toc115703481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7A7C9A" w14:textId="51CB4209" w:rsidR="00CA2E53" w:rsidRDefault="00CA2E53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115703482" w:history="1">
            <w:r w:rsidRPr="004D4F40">
              <w:rPr>
                <w:rStyle w:val="Collegamentoipertestuale"/>
                <w:noProof/>
              </w:rPr>
              <w:t>Perché usare il Doppio Book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_Toc115703482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0B1D01" w14:textId="3E4EE119" w:rsidR="00CA2E53" w:rsidRDefault="00CA2E53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115703483" w:history="1">
            <w:r w:rsidRPr="004D4F40">
              <w:rPr>
                <w:rStyle w:val="Collegamentoipertestuale"/>
                <w:noProof/>
              </w:rPr>
              <w:t>Configurazione Doppio Book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_Toc115703483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6468FB" w14:textId="605E91F8" w:rsidR="00CA2E53" w:rsidRDefault="00CA2E53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115703484" w:history="1">
            <w:r w:rsidRPr="004D4F40">
              <w:rPr>
                <w:rStyle w:val="Collegamentoipertestuale"/>
                <w:noProof/>
              </w:rPr>
              <w:t>Come si compra da Maker in BUSD non pagando le fee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_Toc115703484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1C592C" w14:textId="52A4EC4C" w:rsidR="00CA2E53" w:rsidRDefault="00CA2E53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115703485" w:history="1">
            <w:r w:rsidRPr="004D4F40">
              <w:rPr>
                <w:rStyle w:val="Collegamentoipertestuale"/>
                <w:noProof/>
              </w:rPr>
              <w:t>Come si vende da Maker in BUSD non pagando le fee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_Toc115703485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95CDB8" w14:textId="525D8D14" w:rsidR="00CA2E53" w:rsidRDefault="00CA2E53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115703486" w:history="1">
            <w:r w:rsidRPr="004D4F40">
              <w:rPr>
                <w:rStyle w:val="Collegamentoipertestuale"/>
                <w:noProof/>
              </w:rPr>
              <w:t>Consigli sul doppio book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_Toc115703486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40CF9E" w14:textId="139296EE" w:rsidR="00C231B8" w:rsidRDefault="00CA2E53">
          <w:r>
            <w:rPr>
              <w:b/>
              <w:bCs/>
            </w:rPr>
            <w:fldChar w:fldCharType="end"/>
          </w:r>
        </w:p>
      </w:sdtContent>
    </w:sdt>
    <w:p w14:paraId="62FECF2D" w14:textId="6750CEA6" w:rsidR="00C231B8" w:rsidRDefault="00C231B8" w:rsidP="00C231B8"/>
    <w:p w14:paraId="2214B037" w14:textId="77777777" w:rsidR="00C231B8" w:rsidRDefault="00C231B8">
      <w:r>
        <w:br w:type="page"/>
      </w:r>
    </w:p>
    <w:p w14:paraId="6AF58088" w14:textId="77777777" w:rsidR="00C231B8" w:rsidRPr="00C231B8" w:rsidRDefault="00C231B8" w:rsidP="00C231B8"/>
    <w:p w14:paraId="2B13C127" w14:textId="44863892" w:rsidR="0095439F" w:rsidRDefault="0095439F" w:rsidP="0095439F">
      <w:pPr>
        <w:pStyle w:val="Titolo2"/>
        <w:rPr>
          <w:color w:val="auto"/>
        </w:rPr>
      </w:pPr>
      <w:bookmarkStart w:id="1" w:name="_Toc115703482"/>
      <w:r>
        <w:rPr>
          <w:color w:val="auto"/>
        </w:rPr>
        <w:t>Perché usare il Doppio Book</w:t>
      </w:r>
      <w:bookmarkEnd w:id="1"/>
      <w:r>
        <w:rPr>
          <w:color w:val="auto"/>
        </w:rPr>
        <w:t xml:space="preserve"> </w:t>
      </w:r>
    </w:p>
    <w:p w14:paraId="1CEA7CD9" w14:textId="35251CA9" w:rsidR="00540FAF" w:rsidRDefault="00540FAF" w:rsidP="00540FAF"/>
    <w:p w14:paraId="6BC95A81" w14:textId="0A8F8A1F" w:rsidR="00540FAF" w:rsidRDefault="00540FAF" w:rsidP="00540FAF">
      <w:pPr>
        <w:pStyle w:val="Nessunaspaziatura"/>
      </w:pPr>
      <w:r>
        <w:t xml:space="preserve">L’utilizzo del doppio Book ci fornisce dei suggerimenti e dei vantaggi all’interno di </w:t>
      </w:r>
      <w:proofErr w:type="spellStart"/>
      <w:r>
        <w:t>Binance</w:t>
      </w:r>
      <w:proofErr w:type="spellEnd"/>
      <w:r>
        <w:t xml:space="preserve"> per lo svolgimento delle Nostre operazioni. </w:t>
      </w:r>
    </w:p>
    <w:p w14:paraId="3FB26F6C" w14:textId="7DCA307A" w:rsidR="00540FAF" w:rsidRDefault="00540FAF" w:rsidP="00540FAF">
      <w:pPr>
        <w:pStyle w:val="Nessunaspaziatura"/>
      </w:pPr>
    </w:p>
    <w:p w14:paraId="50B2B41A" w14:textId="08FA4BF6" w:rsidR="00540FAF" w:rsidRDefault="00540FAF" w:rsidP="00540FAF">
      <w:pPr>
        <w:pStyle w:val="Nessunaspaziatura"/>
      </w:pPr>
      <w:r>
        <w:t xml:space="preserve">Ci da molteplici segnali e ci consente: </w:t>
      </w:r>
    </w:p>
    <w:p w14:paraId="0540C043" w14:textId="563C9085" w:rsidR="00540FAF" w:rsidRDefault="00540FAF" w:rsidP="00540FAF">
      <w:pPr>
        <w:pStyle w:val="Nessunaspaziatura"/>
        <w:numPr>
          <w:ilvl w:val="0"/>
          <w:numId w:val="1"/>
        </w:numPr>
      </w:pPr>
      <w:r>
        <w:t xml:space="preserve">Di Individuare livelli importanti nei vari book; </w:t>
      </w:r>
    </w:p>
    <w:p w14:paraId="594393CF" w14:textId="72B05F9C" w:rsidR="00540FAF" w:rsidRDefault="00540FAF" w:rsidP="00540FAF">
      <w:pPr>
        <w:pStyle w:val="Nessunaspaziatura"/>
        <w:numPr>
          <w:ilvl w:val="0"/>
          <w:numId w:val="1"/>
        </w:numPr>
      </w:pPr>
      <w:r>
        <w:t>Di capire dove ci sono dei buchi tra i livelli, che possono generare dei ‘vuoti’, ottimali per capire in quale direzione si potrebbe andare (Long/Short);</w:t>
      </w:r>
    </w:p>
    <w:p w14:paraId="11579797" w14:textId="371F568D" w:rsidR="00540FAF" w:rsidRDefault="00540FAF" w:rsidP="00540FAF">
      <w:pPr>
        <w:pStyle w:val="Nessunaspaziatura"/>
        <w:numPr>
          <w:ilvl w:val="0"/>
          <w:numId w:val="1"/>
        </w:numPr>
      </w:pPr>
      <w:r>
        <w:t xml:space="preserve">Di </w:t>
      </w:r>
      <w:r w:rsidRPr="009756B8">
        <w:rPr>
          <w:b/>
          <w:bCs/>
        </w:rPr>
        <w:t>vendere o comprare all’interno del Book in BUSD come ‘Maker’</w:t>
      </w:r>
      <w:r>
        <w:t xml:space="preserve">, quindi all’interno del rispettivo book in compra o vendi per non pagare le </w:t>
      </w:r>
      <w:proofErr w:type="spellStart"/>
      <w:r>
        <w:t>fee</w:t>
      </w:r>
      <w:proofErr w:type="spellEnd"/>
      <w:r>
        <w:t xml:space="preserve"> in Bi</w:t>
      </w:r>
      <w:proofErr w:type="spellStart"/>
      <w:r>
        <w:t>nance</w:t>
      </w:r>
      <w:proofErr w:type="spellEnd"/>
      <w:r>
        <w:t xml:space="preserve">. </w:t>
      </w:r>
    </w:p>
    <w:p w14:paraId="0A1DD29A" w14:textId="77777777" w:rsidR="00540FAF" w:rsidRPr="00540FAF" w:rsidRDefault="00540FAF" w:rsidP="00540FAF"/>
    <w:p w14:paraId="5BE833DB" w14:textId="31C67DF4" w:rsidR="00540FAF" w:rsidRPr="009756B8" w:rsidRDefault="0095439F" w:rsidP="009756B8">
      <w:pPr>
        <w:pStyle w:val="Titolo2"/>
        <w:rPr>
          <w:color w:val="auto"/>
        </w:rPr>
      </w:pPr>
      <w:bookmarkStart w:id="2" w:name="_Toc115703483"/>
      <w:r w:rsidRPr="0095439F">
        <w:rPr>
          <w:color w:val="auto"/>
        </w:rPr>
        <w:t>Configurazione Doppio Book</w:t>
      </w:r>
      <w:bookmarkEnd w:id="2"/>
      <w:r w:rsidRPr="0095439F">
        <w:rPr>
          <w:color w:val="auto"/>
        </w:rPr>
        <w:t xml:space="preserve"> </w:t>
      </w:r>
    </w:p>
    <w:p w14:paraId="27E7AE93" w14:textId="0875E676" w:rsidR="00540FAF" w:rsidRDefault="00540FAF" w:rsidP="0095439F">
      <w:r>
        <w:t xml:space="preserve">In merito agli step da eseguire per la configurazione del doppio book in </w:t>
      </w:r>
      <w:proofErr w:type="spellStart"/>
      <w:r>
        <w:t>Binance</w:t>
      </w:r>
      <w:proofErr w:type="spellEnd"/>
      <w:r>
        <w:t xml:space="preserve"> Vi rimando alla Guida Video fatta da </w:t>
      </w:r>
      <w:proofErr w:type="spellStart"/>
      <w:r>
        <w:t>X_seem</w:t>
      </w:r>
      <w:proofErr w:type="spellEnd"/>
      <w:r>
        <w:t xml:space="preserve"> e pubblicata in </w:t>
      </w:r>
      <w:proofErr w:type="spellStart"/>
      <w:r>
        <w:t>Bibliobull</w:t>
      </w:r>
      <w:proofErr w:type="spellEnd"/>
      <w:r>
        <w:t xml:space="preserve">. </w:t>
      </w:r>
    </w:p>
    <w:p w14:paraId="1956D0C9" w14:textId="329476CD" w:rsidR="00540FAF" w:rsidRPr="00540FAF" w:rsidRDefault="00540FAF" w:rsidP="00540FAF">
      <w:r>
        <w:t xml:space="preserve">Di seguito il link: </w:t>
      </w:r>
      <w:r>
        <w:br/>
      </w:r>
      <w:r w:rsidRPr="00540FAF">
        <w:t>https://biblioteca.scalpingwithbull.com/product/layout-doppio-book</w:t>
      </w:r>
    </w:p>
    <w:p w14:paraId="048EA916" w14:textId="70FA189B" w:rsidR="00540FAF" w:rsidRPr="009756B8" w:rsidRDefault="00540FAF" w:rsidP="009756B8">
      <w:pPr>
        <w:pStyle w:val="Titolo2"/>
        <w:rPr>
          <w:color w:val="auto"/>
        </w:rPr>
      </w:pPr>
      <w:bookmarkStart w:id="3" w:name="_Toc115703484"/>
      <w:r>
        <w:rPr>
          <w:color w:val="auto"/>
        </w:rPr>
        <w:t xml:space="preserve">Come si compra da Maker </w:t>
      </w:r>
      <w:r w:rsidR="009756B8">
        <w:rPr>
          <w:color w:val="auto"/>
        </w:rPr>
        <w:t xml:space="preserve">in BUSD non pagando le </w:t>
      </w:r>
      <w:proofErr w:type="spellStart"/>
      <w:r w:rsidR="009756B8">
        <w:rPr>
          <w:color w:val="auto"/>
        </w:rPr>
        <w:t>fee</w:t>
      </w:r>
      <w:bookmarkEnd w:id="3"/>
      <w:proofErr w:type="spellEnd"/>
    </w:p>
    <w:p w14:paraId="22C319EE" w14:textId="77777777" w:rsidR="009756B8" w:rsidRDefault="00540FAF" w:rsidP="00540FAF">
      <w:r>
        <w:t xml:space="preserve">Acquistare da Maker significa acquistare all’interno del Book </w:t>
      </w:r>
      <w:r w:rsidR="009756B8">
        <w:t xml:space="preserve">in acquisto inserendo un ordine Limite ad un prezzo inferiore rispetto al prezzo di mercato: </w:t>
      </w:r>
    </w:p>
    <w:p w14:paraId="1C31A168" w14:textId="79B4E646" w:rsidR="00540FAF" w:rsidRDefault="009756B8" w:rsidP="00540FAF">
      <w:r>
        <w:t xml:space="preserve"> </w:t>
      </w:r>
      <w:r>
        <w:rPr>
          <w:noProof/>
        </w:rPr>
        <w:drawing>
          <wp:inline distT="0" distB="0" distL="0" distR="0" wp14:anchorId="5B4D5DB7" wp14:editId="1830E08D">
            <wp:extent cx="3543300" cy="3258380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64534" cy="3277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30604" w14:textId="253A813A" w:rsidR="00CA2E53" w:rsidRDefault="00CA2E53" w:rsidP="00540FAF"/>
    <w:p w14:paraId="507C4345" w14:textId="4A2D868E" w:rsidR="00CA2E53" w:rsidRDefault="00CA2E53" w:rsidP="00540FAF"/>
    <w:p w14:paraId="4F8FE348" w14:textId="77777777" w:rsidR="00CA2E53" w:rsidRPr="00540FAF" w:rsidRDefault="00CA2E53" w:rsidP="00540FAF"/>
    <w:p w14:paraId="7114FD78" w14:textId="37DB6111" w:rsidR="009756B8" w:rsidRDefault="009756B8" w:rsidP="0095439F">
      <w:r>
        <w:lastRenderedPageBreak/>
        <w:t xml:space="preserve">Quindi, si inserisce l’ordine Limite, come di seguito evidenziato: </w:t>
      </w:r>
    </w:p>
    <w:p w14:paraId="2E0D963C" w14:textId="762796E0" w:rsidR="0095439F" w:rsidRDefault="009756B8" w:rsidP="0095439F">
      <w:r>
        <w:rPr>
          <w:noProof/>
        </w:rPr>
        <w:drawing>
          <wp:inline distT="0" distB="0" distL="0" distR="0" wp14:anchorId="073800B3" wp14:editId="23C239BF">
            <wp:extent cx="6120130" cy="2586355"/>
            <wp:effectExtent l="0" t="0" r="0" b="4445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586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3F713" w14:textId="3740DE72" w:rsidR="009756B8" w:rsidRDefault="009756B8" w:rsidP="0095439F">
      <w:r>
        <w:t xml:space="preserve">Una volta che l’ordine sarà eseguito, nella cronologia ordini potremo riscontrare che non sono state pagate commissioni rispetto all’ordine di Acquisto: </w:t>
      </w:r>
    </w:p>
    <w:p w14:paraId="1E09ABC1" w14:textId="6BEC759B" w:rsidR="009756B8" w:rsidRPr="0095439F" w:rsidRDefault="009756B8" w:rsidP="0095439F">
      <w:r>
        <w:rPr>
          <w:noProof/>
        </w:rPr>
        <w:drawing>
          <wp:inline distT="0" distB="0" distL="0" distR="0" wp14:anchorId="69689AC4" wp14:editId="5B6FEAC3">
            <wp:extent cx="6120130" cy="1711325"/>
            <wp:effectExtent l="0" t="0" r="0" b="3175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1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6BFB3" w14:textId="7866A00B" w:rsidR="009756B8" w:rsidRDefault="009756B8" w:rsidP="009756B8">
      <w:pPr>
        <w:pStyle w:val="Titolo2"/>
        <w:rPr>
          <w:color w:val="auto"/>
        </w:rPr>
      </w:pPr>
      <w:bookmarkStart w:id="4" w:name="_Toc115703485"/>
      <w:r>
        <w:rPr>
          <w:color w:val="auto"/>
        </w:rPr>
        <w:t xml:space="preserve">Come si </w:t>
      </w:r>
      <w:r>
        <w:rPr>
          <w:color w:val="auto"/>
        </w:rPr>
        <w:t>vende</w:t>
      </w:r>
      <w:r>
        <w:rPr>
          <w:color w:val="auto"/>
        </w:rPr>
        <w:t xml:space="preserve"> da Maker in BUSD non pagando le </w:t>
      </w:r>
      <w:proofErr w:type="spellStart"/>
      <w:r>
        <w:rPr>
          <w:color w:val="auto"/>
        </w:rPr>
        <w:t>fe</w:t>
      </w:r>
      <w:r w:rsidR="002E78FC">
        <w:rPr>
          <w:color w:val="auto"/>
        </w:rPr>
        <w:t>e</w:t>
      </w:r>
      <w:bookmarkEnd w:id="4"/>
      <w:proofErr w:type="spellEnd"/>
    </w:p>
    <w:p w14:paraId="24E5EF1B" w14:textId="6119D6FA" w:rsidR="002E78FC" w:rsidRDefault="002E78FC" w:rsidP="002E78FC">
      <w:r>
        <w:t xml:space="preserve">Nello stesso modo dell’acquisto, possiamo procedere inserendo un ordine di vendita nel Book che in seguito alla sua esecuzione non avrà le </w:t>
      </w:r>
      <w:proofErr w:type="spellStart"/>
      <w:r>
        <w:t>fee</w:t>
      </w:r>
      <w:proofErr w:type="spellEnd"/>
      <w:r>
        <w:t xml:space="preserve"> caricate sul totale della quantità venduta. </w:t>
      </w:r>
    </w:p>
    <w:p w14:paraId="5421B8A5" w14:textId="588FEF8E" w:rsidR="002E78FC" w:rsidRPr="002E78FC" w:rsidRDefault="002E78FC" w:rsidP="002E78FC">
      <w:r>
        <w:rPr>
          <w:noProof/>
        </w:rPr>
        <w:drawing>
          <wp:inline distT="0" distB="0" distL="0" distR="0" wp14:anchorId="7F96AC41" wp14:editId="07939AC1">
            <wp:extent cx="3604260" cy="2841748"/>
            <wp:effectExtent l="0" t="0" r="0" b="0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25398" cy="2858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B552B" w14:textId="16C4C5AA" w:rsidR="009756B8" w:rsidRDefault="002E78FC" w:rsidP="009756B8">
      <w:r>
        <w:rPr>
          <w:noProof/>
        </w:rPr>
        <w:lastRenderedPageBreak/>
        <w:drawing>
          <wp:inline distT="0" distB="0" distL="0" distR="0" wp14:anchorId="70B2ADE5" wp14:editId="601D5AFB">
            <wp:extent cx="6120130" cy="1203325"/>
            <wp:effectExtent l="0" t="0" r="0" b="0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0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FB76B" w14:textId="77777777" w:rsidR="002E78FC" w:rsidRPr="009756B8" w:rsidRDefault="002E78FC" w:rsidP="009756B8"/>
    <w:p w14:paraId="729EF2DA" w14:textId="1DBB4BF2" w:rsidR="002E78FC" w:rsidRDefault="002E78FC" w:rsidP="00C231B8">
      <w:pPr>
        <w:pStyle w:val="Titolo2"/>
        <w:rPr>
          <w:color w:val="auto"/>
        </w:rPr>
      </w:pPr>
      <w:bookmarkStart w:id="5" w:name="_Toc115703486"/>
      <w:r>
        <w:rPr>
          <w:color w:val="auto"/>
        </w:rPr>
        <w:t>Consigli sul doppio book</w:t>
      </w:r>
      <w:bookmarkEnd w:id="5"/>
    </w:p>
    <w:p w14:paraId="355D515D" w14:textId="77777777" w:rsidR="00C231B8" w:rsidRPr="00C231B8" w:rsidRDefault="00C231B8" w:rsidP="00C231B8"/>
    <w:p w14:paraId="5F03978F" w14:textId="77777777" w:rsidR="002E78FC" w:rsidRDefault="002E78FC" w:rsidP="002E78FC">
      <w:r>
        <w:t xml:space="preserve">Ho notato, che l’utilizzo di book multipli è molto utile in quanto, molti book possono contribuire a farci capire la direzione del prezzo (oltre che il grafico). </w:t>
      </w:r>
    </w:p>
    <w:p w14:paraId="7A140D44" w14:textId="7389E905" w:rsidR="002E78FC" w:rsidRDefault="002E78FC" w:rsidP="002E78FC">
      <w:r>
        <w:br/>
        <w:t xml:space="preserve">Inoltre, il controllo di più book ci dà la possibilità di capire dove ci sono dei vuoti e dove ci sono le resistenze. </w:t>
      </w:r>
      <w:r>
        <w:br/>
      </w:r>
      <w:r>
        <w:br/>
        <w:t xml:space="preserve">Talvolta, mi è per esempio capitato, di trovare dei supporti in BTC che per esempio in BUSD o USDT non erano presenti per una determinata coppia. </w:t>
      </w:r>
    </w:p>
    <w:p w14:paraId="4B41CC97" w14:textId="346224FC" w:rsidR="00C231B8" w:rsidRDefault="00C231B8">
      <w:pPr>
        <w:rPr>
          <w:noProof/>
        </w:rPr>
      </w:pPr>
      <w:r>
        <w:t>In questo esempio, possiamo capire che l’area di supporto nei Book per QUICK è nel Book in USDT ed è molto vicina alla 10 del grafico ad 1 ora (potrebbe quindi essere una potenziale area dove aspettarci dei rimbalzi</w:t>
      </w:r>
      <w:proofErr w:type="gramStart"/>
      <w:r>
        <w:t>) :</w:t>
      </w:r>
      <w:proofErr w:type="gramEnd"/>
      <w:r w:rsidRPr="00C231B8">
        <w:rPr>
          <w:noProof/>
        </w:rPr>
        <w:t xml:space="preserve"> </w:t>
      </w:r>
    </w:p>
    <w:p w14:paraId="1968A066" w14:textId="14CB0314" w:rsidR="00C231B8" w:rsidRDefault="00C231B8">
      <w:r>
        <w:rPr>
          <w:noProof/>
        </w:rPr>
        <w:drawing>
          <wp:inline distT="0" distB="0" distL="0" distR="0" wp14:anchorId="6B7C331A" wp14:editId="0F0120D7">
            <wp:extent cx="2971695" cy="1836420"/>
            <wp:effectExtent l="0" t="0" r="635" b="0"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07514" cy="185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84748" w14:textId="4A971699" w:rsidR="0026368C" w:rsidRDefault="00C231B8">
      <w:r>
        <w:t xml:space="preserve"> </w:t>
      </w:r>
      <w:r w:rsidR="002E78FC" w:rsidRPr="002E78FC">
        <w:rPr>
          <w:noProof/>
        </w:rPr>
        <w:t xml:space="preserve">  </w:t>
      </w:r>
      <w:r>
        <w:rPr>
          <w:noProof/>
        </w:rPr>
        <w:drawing>
          <wp:inline distT="0" distB="0" distL="0" distR="0" wp14:anchorId="06C296B8" wp14:editId="26D03829">
            <wp:extent cx="2964180" cy="2310018"/>
            <wp:effectExtent l="0" t="0" r="7620" b="0"/>
            <wp:docPr id="20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00250" cy="2338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9CB8C" w14:textId="070D7B2A" w:rsidR="0026368C" w:rsidRDefault="0026368C">
      <w:r>
        <w:br w:type="page"/>
      </w:r>
    </w:p>
    <w:p w14:paraId="2B3AC1D1" w14:textId="77777777" w:rsidR="0026368C" w:rsidRPr="0026368C" w:rsidRDefault="0026368C" w:rsidP="0026368C"/>
    <w:sectPr w:rsidR="0026368C" w:rsidRPr="0026368C">
      <w:footerReference w:type="default" r:id="rId1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7822D" w14:textId="77777777" w:rsidR="00C35182" w:rsidRDefault="00C35182" w:rsidP="001A7E1D">
      <w:pPr>
        <w:spacing w:after="0" w:line="240" w:lineRule="auto"/>
      </w:pPr>
      <w:r>
        <w:separator/>
      </w:r>
    </w:p>
  </w:endnote>
  <w:endnote w:type="continuationSeparator" w:id="0">
    <w:p w14:paraId="122F59B3" w14:textId="77777777" w:rsidR="00C35182" w:rsidRDefault="00C35182" w:rsidP="001A7E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ABFCE" w14:textId="00C32FEF" w:rsidR="001A7E1D" w:rsidRDefault="001A7E1D" w:rsidP="001A7E1D">
    <w:pPr>
      <w:pStyle w:val="Intestazione"/>
    </w:pPr>
    <w:r>
      <w:t xml:space="preserve">A cura di </w:t>
    </w:r>
    <w:r>
      <w:t>@manuel_verbo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8D4F9" w14:textId="77777777" w:rsidR="00C35182" w:rsidRDefault="00C35182" w:rsidP="001A7E1D">
      <w:pPr>
        <w:spacing w:after="0" w:line="240" w:lineRule="auto"/>
      </w:pPr>
      <w:r>
        <w:separator/>
      </w:r>
    </w:p>
  </w:footnote>
  <w:footnote w:type="continuationSeparator" w:id="0">
    <w:p w14:paraId="4974FEE2" w14:textId="77777777" w:rsidR="00C35182" w:rsidRDefault="00C35182" w:rsidP="001A7E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1C001C"/>
    <w:multiLevelType w:val="hybridMultilevel"/>
    <w:tmpl w:val="A7B084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68C"/>
    <w:rsid w:val="00067A52"/>
    <w:rsid w:val="001A7E1D"/>
    <w:rsid w:val="0026368C"/>
    <w:rsid w:val="002E5C6E"/>
    <w:rsid w:val="002E78FC"/>
    <w:rsid w:val="00540FAF"/>
    <w:rsid w:val="005D147D"/>
    <w:rsid w:val="00944F62"/>
    <w:rsid w:val="0095439F"/>
    <w:rsid w:val="009756B8"/>
    <w:rsid w:val="00C231B8"/>
    <w:rsid w:val="00C35182"/>
    <w:rsid w:val="00CA2E53"/>
    <w:rsid w:val="00D26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F723CB"/>
  <w15:chartTrackingRefBased/>
  <w15:docId w15:val="{D33A84BC-02F0-47A5-9750-77410B6B3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it-I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6368C"/>
  </w:style>
  <w:style w:type="paragraph" w:styleId="Titolo1">
    <w:name w:val="heading 1"/>
    <w:basedOn w:val="Normale"/>
    <w:next w:val="Normale"/>
    <w:link w:val="Titolo1Carattere"/>
    <w:uiPriority w:val="9"/>
    <w:qFormat/>
    <w:rsid w:val="0026368C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26368C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6368C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6368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6368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6368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6368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6368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6368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link w:val="TitoloCarattere"/>
    <w:uiPriority w:val="10"/>
    <w:qFormat/>
    <w:rsid w:val="0026368C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oloCarattere">
    <w:name w:val="Titolo Carattere"/>
    <w:basedOn w:val="Carpredefinitoparagrafo"/>
    <w:link w:val="Titolo"/>
    <w:uiPriority w:val="10"/>
    <w:rsid w:val="0026368C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6368C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6368C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6368C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6368C"/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6368C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6368C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6368C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6368C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6368C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26368C"/>
    <w:pPr>
      <w:spacing w:line="240" w:lineRule="auto"/>
    </w:pPr>
    <w:rPr>
      <w:b/>
      <w:bCs/>
      <w:smallCaps/>
      <w:color w:val="595959" w:themeColor="text1" w:themeTint="A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6368C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6368C"/>
    <w:rPr>
      <w:rFonts w:asciiTheme="majorHAnsi" w:eastAsiaTheme="majorEastAsia" w:hAnsiTheme="majorHAnsi" w:cstheme="majorBidi"/>
      <w:sz w:val="30"/>
      <w:szCs w:val="30"/>
    </w:rPr>
  </w:style>
  <w:style w:type="character" w:styleId="Enfasigrassetto">
    <w:name w:val="Strong"/>
    <w:basedOn w:val="Carpredefinitoparagrafo"/>
    <w:uiPriority w:val="22"/>
    <w:qFormat/>
    <w:rsid w:val="0026368C"/>
    <w:rPr>
      <w:b/>
      <w:bCs/>
    </w:rPr>
  </w:style>
  <w:style w:type="character" w:styleId="Enfasicorsivo">
    <w:name w:val="Emphasis"/>
    <w:basedOn w:val="Carpredefinitoparagrafo"/>
    <w:uiPriority w:val="20"/>
    <w:qFormat/>
    <w:rsid w:val="0026368C"/>
    <w:rPr>
      <w:i/>
      <w:iCs/>
      <w:color w:val="70AD47" w:themeColor="accent6"/>
    </w:rPr>
  </w:style>
  <w:style w:type="paragraph" w:styleId="Nessunaspaziatura">
    <w:name w:val="No Spacing"/>
    <w:uiPriority w:val="1"/>
    <w:qFormat/>
    <w:rsid w:val="0026368C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26368C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6368C"/>
    <w:rPr>
      <w:i/>
      <w:iCs/>
      <w:color w:val="262626" w:themeColor="text1" w:themeTint="D9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6368C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6368C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Enfasidelicata">
    <w:name w:val="Subtle Emphasis"/>
    <w:basedOn w:val="Carpredefinitoparagrafo"/>
    <w:uiPriority w:val="19"/>
    <w:qFormat/>
    <w:rsid w:val="0026368C"/>
    <w:rPr>
      <w:i/>
      <w:iCs/>
    </w:rPr>
  </w:style>
  <w:style w:type="character" w:styleId="Enfasiintensa">
    <w:name w:val="Intense Emphasis"/>
    <w:basedOn w:val="Carpredefinitoparagrafo"/>
    <w:uiPriority w:val="21"/>
    <w:qFormat/>
    <w:rsid w:val="0026368C"/>
    <w:rPr>
      <w:b/>
      <w:bCs/>
      <w:i/>
      <w:iCs/>
    </w:rPr>
  </w:style>
  <w:style w:type="character" w:styleId="Riferimentodelicato">
    <w:name w:val="Subtle Reference"/>
    <w:basedOn w:val="Carpredefinitoparagrafo"/>
    <w:uiPriority w:val="31"/>
    <w:qFormat/>
    <w:rsid w:val="0026368C"/>
    <w:rPr>
      <w:smallCaps/>
      <w:color w:val="595959" w:themeColor="text1" w:themeTint="A6"/>
    </w:rPr>
  </w:style>
  <w:style w:type="character" w:styleId="Riferimentointenso">
    <w:name w:val="Intense Reference"/>
    <w:basedOn w:val="Carpredefinitoparagrafo"/>
    <w:uiPriority w:val="32"/>
    <w:qFormat/>
    <w:rsid w:val="0026368C"/>
    <w:rPr>
      <w:b/>
      <w:bCs/>
      <w:smallCaps/>
      <w:color w:val="70AD47" w:themeColor="accent6"/>
    </w:rPr>
  </w:style>
  <w:style w:type="character" w:styleId="Titolodellibro">
    <w:name w:val="Book Title"/>
    <w:basedOn w:val="Carpredefinitoparagrafo"/>
    <w:uiPriority w:val="33"/>
    <w:qFormat/>
    <w:rsid w:val="0026368C"/>
    <w:rPr>
      <w:b/>
      <w:bCs/>
      <w:caps w:val="0"/>
      <w:smallCaps/>
      <w:spacing w:val="7"/>
      <w:sz w:val="21"/>
      <w:szCs w:val="21"/>
    </w:rPr>
  </w:style>
  <w:style w:type="paragraph" w:styleId="Titolosommario">
    <w:name w:val="TOC Heading"/>
    <w:basedOn w:val="Titolo1"/>
    <w:next w:val="Normale"/>
    <w:uiPriority w:val="39"/>
    <w:unhideWhenUsed/>
    <w:qFormat/>
    <w:rsid w:val="0026368C"/>
    <w:pPr>
      <w:outlineLvl w:val="9"/>
    </w:pPr>
  </w:style>
  <w:style w:type="paragraph" w:styleId="Intestazione">
    <w:name w:val="header"/>
    <w:basedOn w:val="Normale"/>
    <w:link w:val="IntestazioneCarattere"/>
    <w:uiPriority w:val="99"/>
    <w:unhideWhenUsed/>
    <w:rsid w:val="001A7E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7E1D"/>
  </w:style>
  <w:style w:type="paragraph" w:styleId="Pidipagina">
    <w:name w:val="footer"/>
    <w:basedOn w:val="Normale"/>
    <w:link w:val="PidipaginaCarattere"/>
    <w:uiPriority w:val="99"/>
    <w:unhideWhenUsed/>
    <w:rsid w:val="001A7E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7E1D"/>
  </w:style>
  <w:style w:type="paragraph" w:styleId="Sommario1">
    <w:name w:val="toc 1"/>
    <w:basedOn w:val="Normale"/>
    <w:next w:val="Normale"/>
    <w:autoRedefine/>
    <w:uiPriority w:val="39"/>
    <w:unhideWhenUsed/>
    <w:rsid w:val="00CA2E53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CA2E53"/>
    <w:pPr>
      <w:spacing w:after="100"/>
      <w:ind w:left="210"/>
    </w:pPr>
  </w:style>
  <w:style w:type="character" w:styleId="Collegamentoipertestuale">
    <w:name w:val="Hyperlink"/>
    <w:basedOn w:val="Carpredefinitoparagrafo"/>
    <w:uiPriority w:val="99"/>
    <w:unhideWhenUsed/>
    <w:rsid w:val="00CA2E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0EF46A-7C09-459C-99A8-3EA55504E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5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DEDAGROUP SPA</Company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Manuel Verbo</dc:creator>
  <cp:keywords/>
  <dc:description/>
  <cp:lastModifiedBy>Andrea Manuel Verbo</cp:lastModifiedBy>
  <cp:revision>4</cp:revision>
  <dcterms:created xsi:type="dcterms:W3CDTF">2022-10-03T10:52:00Z</dcterms:created>
  <dcterms:modified xsi:type="dcterms:W3CDTF">2022-10-03T13:31:00Z</dcterms:modified>
</cp:coreProperties>
</file>